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 w:eastAsia="方正小标宋_GBK"/>
          <w:bCs/>
          <w:color w:val="auto"/>
          <w:kern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eastAsia="方正小标宋_GBK"/>
          <w:bCs/>
          <w:kern w:val="0"/>
          <w:sz w:val="44"/>
          <w:szCs w:val="44"/>
          <w:lang w:eastAsia="zh-CN"/>
        </w:rPr>
        <w:t>湖南科技学院</w:t>
      </w:r>
      <w:r>
        <w:rPr>
          <w:rFonts w:hint="eastAsia" w:ascii="方正小标宋_GBK" w:eastAsia="方正小标宋_GBK"/>
          <w:bCs/>
          <w:kern w:val="0"/>
          <w:sz w:val="44"/>
          <w:szCs w:val="44"/>
        </w:rPr>
        <w:t>2018年度部门决算</w:t>
      </w:r>
    </w:p>
    <w:bookmarkEnd w:id="0"/>
    <w:p>
      <w:pPr>
        <w:numPr>
          <w:numId w:val="0"/>
        </w:numPr>
        <w:rPr>
          <w:rFonts w:hint="eastAsia" w:eastAsia="黑体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bCs/>
          <w:color w:val="auto"/>
          <w:kern w:val="0"/>
          <w:sz w:val="32"/>
          <w:szCs w:val="32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 w:eastAsia="黑体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eastAsia="黑体"/>
          <w:bCs/>
          <w:color w:val="auto"/>
          <w:kern w:val="0"/>
          <w:sz w:val="32"/>
          <w:szCs w:val="32"/>
          <w:lang w:val="en-US" w:eastAsia="zh-CN"/>
        </w:rPr>
        <w:t>湖南科技学院概况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60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湖南科技学院是一所经教育部批准，由湖南省教育厅主管的公办全日制普通本科院校。学校办学始于1941年，前身为湖南省立第七师范学校，2002年由原零陵师专升格为本科院校，定名零陵学院，2004年更名为湖南科技学院。经过70余年的建设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和发展，现已成为一所综合性应用型本科院校。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 　   学校建有16个教学学院，48个普通本科专业，面向全国27个省（市、区）招生。现有普通本科在校学生15057余人，成人教育在校学生4000余人。现有教职员工近1200人，具有博士、硕士学位</w:t>
      </w:r>
      <w:r>
        <w:rPr>
          <w:rFonts w:hint="default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880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余人，入选国务院政府特殊津贴、湖南省政府特殊津贴、“湖湘青年英才”支持计划、湖南省“</w:t>
      </w:r>
      <w:r>
        <w:rPr>
          <w:rFonts w:hint="default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121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人才”工程人选、省级学科带头人、省级青年骨干教师</w:t>
      </w:r>
      <w:r>
        <w:rPr>
          <w:rFonts w:hint="default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70</w:t>
      </w: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余人。我校优秀校友中国工程院欧阳晓平院士为荣誉校长。学校占地面积约72万平方米，建筑面积约45万平方米，教学仪器设备总值约1.6亿元，纸本图书110万册，固定资产总值约8.39亿元。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t>     学校现有2个“十三五”省级双一流应用特色建设学科、2个“十二五”省级综合改革试点专业、3个“十三五”省级综合改革试点专业、1个省级重点实验室、2个省级工程技术研究中心、2个省科技创新团队、2个省级创新创业基地、1个省高校产学研合作示范基地、11个省级社科研究基地中心、2个省级学会、3个省级优秀教学团队、3个校级协同创新中心、24个校级科研机构。近年来，全校教师共获得省部级以上科研项目370余项，其中国家自科基金项目14项、国家社科基金和教育部项目23项、国家艺术基金3项，获省级以上科研与教学成果奖20余项，全校教师发表学术论文5000余篇，其中被三大检索收录300余篇，全球高被引ESI论文2篇，出版著作、教材260余部。《湖南科技学院学报》被评为“中国人文社科学报核心期刊”、“全国百强社科学报”，柳宗元研究栏目被评为“全国社科学报特色栏目”。学校广泛开展国际交流与合作，已与美国、德国、英国、白俄罗斯、韩国、日本、马来西亚等30所国（境）外高校开展教育合作，7位外籍专家在校任教。</w:t>
      </w:r>
    </w:p>
    <w:p>
      <w:pP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0"/>
          <w:szCs w:val="30"/>
          <w:lang w:val="en-US" w:eastAsia="zh-CN" w:bidi="ar-SA"/>
        </w:rPr>
        <w:br w:type="page"/>
      </w:r>
    </w:p>
    <w:p>
      <w:pPr>
        <w:widowControl/>
        <w:numPr>
          <w:numId w:val="0"/>
        </w:numPr>
        <w:spacing w:line="600" w:lineRule="exact"/>
        <w:ind w:leftChars="0"/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hint="eastAsia" w:eastAsia="黑体"/>
          <w:bCs/>
          <w:color w:val="auto"/>
          <w:kern w:val="0"/>
          <w:sz w:val="32"/>
          <w:szCs w:val="32"/>
          <w:lang w:eastAsia="zh-CN"/>
        </w:rPr>
        <w:t>湖南科技学院</w:t>
      </w:r>
      <w:r>
        <w:rPr>
          <w:rFonts w:eastAsia="黑体"/>
          <w:bCs/>
          <w:color w:val="auto"/>
          <w:kern w:val="0"/>
          <w:sz w:val="32"/>
          <w:szCs w:val="32"/>
        </w:rPr>
        <w:t>201</w:t>
      </w:r>
      <w:r>
        <w:rPr>
          <w:rFonts w:hint="eastAsia" w:eastAsia="黑体"/>
          <w:bCs/>
          <w:color w:val="auto"/>
          <w:kern w:val="0"/>
          <w:sz w:val="32"/>
          <w:szCs w:val="32"/>
        </w:rPr>
        <w:t>8</w:t>
      </w:r>
      <w:r>
        <w:rPr>
          <w:rFonts w:eastAsia="黑体"/>
          <w:bCs/>
          <w:color w:val="auto"/>
          <w:kern w:val="0"/>
          <w:sz w:val="32"/>
          <w:szCs w:val="32"/>
        </w:rPr>
        <w:t>年度部门决算表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一、收入支出决算总表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二、收入决算表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三、支出决算表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四、财政拨款收入支出决算总表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五、一般公共预算财政拨款支出决算表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六、一般公共预算财政拨款基本支出决算表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七、一般公共预算财政拨款“三公”经费支出决算表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八、政府性基金预算财政拨款收入支出决算表</w:t>
      </w:r>
    </w:p>
    <w:p>
      <w:pPr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hint="eastAsia" w:eastAsia="仿宋_GB2312"/>
          <w:bCs/>
          <w:color w:val="auto"/>
          <w:kern w:val="0"/>
          <w:sz w:val="32"/>
          <w:szCs w:val="32"/>
          <w:lang w:eastAsia="zh-CN"/>
        </w:rPr>
        <w:t>（见附表）</w:t>
      </w:r>
      <w:r>
        <w:rPr>
          <w:rFonts w:eastAsia="仿宋_GB2312"/>
          <w:bCs/>
          <w:color w:val="auto"/>
          <w:kern w:val="0"/>
          <w:sz w:val="32"/>
          <w:szCs w:val="32"/>
        </w:rPr>
        <w:br w:type="page"/>
      </w:r>
    </w:p>
    <w:p>
      <w:pPr>
        <w:widowControl/>
        <w:spacing w:line="600" w:lineRule="exact"/>
        <w:jc w:val="center"/>
        <w:rPr>
          <w:rFonts w:eastAsia="黑体"/>
          <w:bCs/>
          <w:color w:val="auto"/>
          <w:kern w:val="0"/>
          <w:sz w:val="32"/>
          <w:szCs w:val="32"/>
        </w:rPr>
      </w:pPr>
      <w:r>
        <w:rPr>
          <w:rFonts w:hint="eastAsia" w:eastAsia="黑体"/>
          <w:bCs/>
          <w:color w:val="auto"/>
          <w:kern w:val="0"/>
          <w:sz w:val="32"/>
          <w:szCs w:val="32"/>
        </w:rPr>
        <w:t>湖南科技学院</w:t>
      </w:r>
      <w:r>
        <w:rPr>
          <w:rFonts w:eastAsia="黑体"/>
          <w:bCs/>
          <w:color w:val="auto"/>
          <w:kern w:val="0"/>
          <w:sz w:val="32"/>
          <w:szCs w:val="32"/>
        </w:rPr>
        <w:t>201</w:t>
      </w:r>
      <w:r>
        <w:rPr>
          <w:rFonts w:hint="eastAsia" w:eastAsia="黑体"/>
          <w:bCs/>
          <w:color w:val="auto"/>
          <w:kern w:val="0"/>
          <w:sz w:val="32"/>
          <w:szCs w:val="32"/>
        </w:rPr>
        <w:t>8</w:t>
      </w:r>
      <w:r>
        <w:rPr>
          <w:rFonts w:eastAsia="黑体"/>
          <w:bCs/>
          <w:color w:val="auto"/>
          <w:kern w:val="0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640" w:firstLineChars="200"/>
        <w:jc w:val="center"/>
        <w:rPr>
          <w:rFonts w:eastAsia="黑体"/>
          <w:bCs/>
          <w:color w:val="auto"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黑体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b/>
          <w:bCs/>
          <w:color w:val="auto"/>
          <w:kern w:val="0"/>
          <w:sz w:val="32"/>
          <w:szCs w:val="32"/>
        </w:rPr>
        <w:t>一、收入支出决算总体情况说明</w:t>
      </w:r>
    </w:p>
    <w:p>
      <w:pPr>
        <w:spacing w:line="360" w:lineRule="auto"/>
        <w:ind w:left="239" w:leftChars="114"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2018年，学校实现收入32506.23万元，较上年的28634.45万元增加了3871.78万元，增幅13.52%。其主要原因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一是学校申报的省级课题立项增多，财政拨款的科研经费有所增长；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二是校企合作项目的增加，学校横向课题经费较上年增幅较大；三是学校加大了学费催缴力度、拓宽了增收渠道，做到了应收尽收。</w:t>
      </w:r>
    </w:p>
    <w:p>
      <w:pPr>
        <w:spacing w:line="360" w:lineRule="auto"/>
        <w:ind w:left="239" w:leftChars="114"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Style w:val="7"/>
          <w:rFonts w:hint="eastAsia" w:ascii="仿宋" w:hAnsi="仿宋" w:eastAsia="仿宋" w:cs="仿宋"/>
          <w:color w:val="auto"/>
          <w:sz w:val="30"/>
          <w:szCs w:val="30"/>
        </w:rPr>
        <w:t>学校全年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支出总额为28563.77万元，较上年支出总额26472.45万元增加了2091.32万元，增幅7.89%。主要是高层次人才津贴增加及全校绩效工资总量有所增长所致。</w:t>
      </w:r>
    </w:p>
    <w:p>
      <w:pPr>
        <w:widowControl/>
        <w:spacing w:line="600" w:lineRule="exact"/>
        <w:ind w:firstLine="643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b/>
          <w:bCs/>
          <w:color w:val="auto"/>
          <w:kern w:val="0"/>
          <w:sz w:val="32"/>
          <w:szCs w:val="32"/>
        </w:rPr>
        <w:t>二、收入决算情况说明</w:t>
      </w:r>
    </w:p>
    <w:p>
      <w:pPr>
        <w:spacing w:line="360" w:lineRule="auto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2018年，学校实现收入32506.23万元，其构成如下：</w:t>
      </w:r>
    </w:p>
    <w:p>
      <w:pPr>
        <w:tabs>
          <w:tab w:val="left" w:pos="2713"/>
        </w:tabs>
        <w:ind w:firstLine="600" w:firstLineChars="200"/>
        <w:jc w:val="left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1.财政拨款19545.59万元，占总收入的60.13%；</w:t>
      </w:r>
    </w:p>
    <w:p>
      <w:pPr>
        <w:spacing w:line="360" w:lineRule="auto"/>
        <w:ind w:left="239" w:leftChars="114" w:firstLine="300" w:firstLineChars="1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2.事业收入10445.22万元，占总收入的32.13%；</w:t>
      </w:r>
    </w:p>
    <w:p>
      <w:pPr>
        <w:spacing w:line="360" w:lineRule="auto"/>
        <w:ind w:left="239" w:leftChars="114" w:firstLine="300" w:firstLineChars="100"/>
        <w:rPr>
          <w:rStyle w:val="7"/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3.其他收入2515.42万元，其中科研事业收入1565.44万元，非同级财政拨款等收入949.98万元。其他收入占总收入的7.74%。</w:t>
      </w:r>
    </w:p>
    <w:p>
      <w:pPr>
        <w:widowControl/>
        <w:spacing w:line="600" w:lineRule="exact"/>
        <w:ind w:firstLine="643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b/>
          <w:bCs/>
          <w:color w:val="auto"/>
          <w:kern w:val="0"/>
          <w:sz w:val="32"/>
          <w:szCs w:val="32"/>
        </w:rPr>
        <w:t>三、支出决算情况说明</w:t>
      </w:r>
    </w:p>
    <w:p>
      <w:pPr>
        <w:spacing w:line="360" w:lineRule="auto"/>
        <w:ind w:left="239" w:leftChars="114" w:firstLine="600" w:firstLineChars="2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2018年，全校各项支出总额为28563.77万元，其中基本支出19353.20万元，项目支出9210.57万元。支出明细如下：</w:t>
      </w:r>
    </w:p>
    <w:p>
      <w:pPr>
        <w:spacing w:line="360" w:lineRule="auto"/>
        <w:ind w:left="239" w:leftChars="114" w:firstLine="300" w:firstLineChars="1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（一）人员经费18470.52万元，占总支出的64.66%。</w:t>
      </w:r>
    </w:p>
    <w:p>
      <w:pPr>
        <w:spacing w:line="360" w:lineRule="auto"/>
        <w:ind w:left="239" w:leftChars="114" w:firstLine="300" w:firstLineChars="1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其中：工资福利性支出15792.44万元，占人员经费支出的85.5%。其具体构成是：在职人员工资、绩效、综治奖、文明奖等12419.90万元，占本类支出的78.64%；社会保险缴费2275.86万元（含机关事业单位基本养老保险缴费1655.23万元），占本类支出的14.41%；住房公积金缴费972.87万元，占本类支出的6.17%；其他工资福利支出共计123.81万元，占本类支出的0.78%。</w:t>
      </w:r>
    </w:p>
    <w:p>
      <w:pPr>
        <w:spacing w:line="360" w:lineRule="auto"/>
        <w:ind w:left="239" w:leftChars="114" w:firstLine="600" w:firstLineChars="2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对个人和家庭的补助支出2678.08万元，占人员经费支出的14.5%。包括学生助学金1630.14万元、生活补助156.06万元、教职工工作补助120万元、抚恤金14.38万元、人才引进安家费464.12万元、其他293.38万元。</w:t>
      </w:r>
    </w:p>
    <w:p>
      <w:pPr>
        <w:spacing w:line="360" w:lineRule="auto"/>
        <w:ind w:left="239" w:leftChars="114" w:firstLine="300" w:firstLineChars="1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（二）商品和服务支出7108.31万元，占总支出的24.89%。</w:t>
      </w:r>
    </w:p>
    <w:p>
      <w:pPr>
        <w:spacing w:line="360" w:lineRule="auto"/>
        <w:ind w:left="239" w:leftChars="114" w:firstLine="300" w:firstLineChars="1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三）其他资本性支出2763.86万元，占总支出的9.68%。包括房屋建筑物购建1963.93万元、办公设备购置费65.79万元、专用设备购置485.58万元、信息网络及软件购置更新20.47万元、其他交通工具购置7.98万元，图书购置等其他资本性支出96.41万元，其他资本性支出123.7万元。</w:t>
      </w:r>
    </w:p>
    <w:p>
      <w:pPr>
        <w:spacing w:line="360" w:lineRule="auto"/>
        <w:ind w:left="239" w:leftChars="114" w:firstLine="300" w:firstLineChars="100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（四）银行借款利息支出221.08万元，占总支出的0.77%。</w:t>
      </w:r>
    </w:p>
    <w:p>
      <w:pPr>
        <w:widowControl/>
        <w:spacing w:line="600" w:lineRule="exact"/>
        <w:ind w:firstLine="640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四、财政拨款收入支出决算总体情况说明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2018年学校实现财政拨款收入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19545.59</w:t>
      </w:r>
      <w:r>
        <w:rPr>
          <w:rFonts w:hint="eastAsia" w:eastAsia="仿宋_GB2312"/>
          <w:color w:val="auto"/>
          <w:kern w:val="0"/>
          <w:sz w:val="32"/>
          <w:szCs w:val="32"/>
        </w:rPr>
        <w:t>万元，较上年收入总额18169.41万元增加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</w:rPr>
        <w:t>1376.18</w:t>
      </w:r>
      <w:r>
        <w:rPr>
          <w:rFonts w:hint="eastAsia" w:eastAsia="仿宋_GB2312"/>
          <w:color w:val="auto"/>
          <w:kern w:val="0"/>
          <w:sz w:val="32"/>
          <w:szCs w:val="32"/>
        </w:rPr>
        <w:t>万元，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增幅7.57%，主要原因为学校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通过培育学科、科研综合实力，当年省级立项有所增加，致财政拨款收入增加。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综治文明奖等工资福利拨款增加。</w:t>
      </w:r>
    </w:p>
    <w:p>
      <w:pPr>
        <w:widowControl/>
        <w:spacing w:line="60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学校财政拨款支出18803.09万元，较上年支出总额17618.15万元增加1184.94万元，增幅6.73%，主要原因为：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人员经费增加，双一流资金增加900万元，高校基建规划拨款900万元。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综治文明奖等工资福利拨款增加。</w:t>
      </w:r>
    </w:p>
    <w:p>
      <w:pPr>
        <w:widowControl/>
        <w:spacing w:line="600" w:lineRule="exact"/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在上级主管部门的督促下，为盘活存量资金，各预算单位加快了一般公共预算资金的执行进度。</w:t>
      </w:r>
    </w:p>
    <w:p>
      <w:pPr>
        <w:widowControl/>
        <w:spacing w:line="600" w:lineRule="exact"/>
        <w:ind w:firstLine="640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五、一般公共预算财政拨款支出决算情况说明</w:t>
      </w:r>
    </w:p>
    <w:p>
      <w:pPr>
        <w:widowControl/>
        <w:spacing w:line="600" w:lineRule="exact"/>
        <w:ind w:firstLine="640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（一）财政拨款支出决算总体情况。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2018年学校实现一般公共预算财政拨款支出决算为18803.09万元，占本年支出比重为65.82%，较上年增加1184.94万元，增幅6.73%，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主要原因为：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在上级主管部门的督促下，为盘活存量资金，各预算单位加快了预算执行进度。</w:t>
      </w:r>
    </w:p>
    <w:p>
      <w:pPr>
        <w:widowControl/>
        <w:spacing w:line="600" w:lineRule="exact"/>
        <w:ind w:firstLine="640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（二）财政拨款支出决算结构情况。</w:t>
      </w:r>
    </w:p>
    <w:p>
      <w:pPr>
        <w:widowControl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2018年学校财政拨款支出决算结构为：工资福利支出13425.80万元，占比71.40%；商品和服务支出3029.15万元，占比16.11%；对个人和家庭的补助1448.14万元，占比7.70%；资本性支出900万元，占比4.79%。</w:t>
      </w:r>
    </w:p>
    <w:p>
      <w:pPr>
        <w:widowControl/>
        <w:spacing w:line="600" w:lineRule="exact"/>
        <w:ind w:firstLine="640" w:firstLineChars="200"/>
        <w:rPr>
          <w:rFonts w:eastAsia="仿宋_GB2312"/>
          <w:b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（三）财政拨款支出决算具体情况。</w:t>
      </w:r>
    </w:p>
    <w:p>
      <w:pPr>
        <w:widowControl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2018年学校财政拨款支出18803.09万元，其中人员经费14698.95万元，较年初预算数增加972.75万元，原因为人员经费增加综治奖和文明奖，预算调整增加了237.60万元，公用经费增加735.15万元，</w:t>
      </w:r>
      <w:r>
        <w:rPr>
          <w:rFonts w:hint="eastAsia" w:eastAsia="仿宋_GB2312"/>
          <w:color w:val="auto"/>
          <w:kern w:val="0"/>
          <w:sz w:val="32"/>
          <w:szCs w:val="32"/>
        </w:rPr>
        <w:t>原因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:</w:t>
      </w:r>
      <w:r>
        <w:rPr>
          <w:rFonts w:hint="eastAsia" w:eastAsia="仿宋_GB2312"/>
          <w:color w:val="auto"/>
          <w:kern w:val="0"/>
          <w:sz w:val="32"/>
          <w:szCs w:val="32"/>
        </w:rPr>
        <w:t>保障基本运行费用增加，造成公用经费有所增加。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六、一般公共预算财政拨款基本支出决算情况说明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一般公共预算财政拨款基本支出为14698.95万元，占一般公共预算财政拨款总支出的78.17%，其中人员经费13563.80万元，公用经费1135.15万元，人员经费主要用于保障学校人员基本工资及福利，公用经费主要用于学校基本运行保障支出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七、一般公共预算财政拨款“三公”经费支出决算情况说明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</w:t>
      </w:r>
      <w:r>
        <w:rPr>
          <w:rFonts w:hint="eastAsia" w:eastAsia="仿宋_GB2312"/>
          <w:bCs/>
          <w:color w:val="auto"/>
          <w:kern w:val="0"/>
          <w:sz w:val="32"/>
          <w:szCs w:val="32"/>
        </w:rPr>
        <w:t>无一般公共预算财政拨款安排的“三公”经费支出。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color w:val="auto"/>
          <w:kern w:val="0"/>
          <w:sz w:val="32"/>
          <w:szCs w:val="32"/>
        </w:rPr>
      </w:pPr>
      <w:r>
        <w:rPr>
          <w:rFonts w:eastAsia="仿宋_GB2312"/>
          <w:bCs/>
          <w:color w:val="auto"/>
          <w:kern w:val="0"/>
          <w:sz w:val="32"/>
          <w:szCs w:val="32"/>
        </w:rPr>
        <w:t>八、政府性基金预算收入支出决算情况</w:t>
      </w:r>
    </w:p>
    <w:p>
      <w:pPr>
        <w:widowControl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hint="eastAsia" w:eastAsia="仿宋_GB2312"/>
          <w:color w:val="auto"/>
          <w:kern w:val="0"/>
          <w:sz w:val="32"/>
          <w:szCs w:val="32"/>
        </w:rPr>
        <w:t>2018年学校无政府性基金</w:t>
      </w:r>
      <w:r>
        <w:rPr>
          <w:rFonts w:eastAsia="仿宋_GB2312"/>
          <w:bCs/>
          <w:color w:val="auto"/>
          <w:kern w:val="0"/>
          <w:sz w:val="32"/>
          <w:szCs w:val="32"/>
        </w:rPr>
        <w:t>预算收入支出</w:t>
      </w:r>
      <w:r>
        <w:rPr>
          <w:rFonts w:hint="eastAsia" w:eastAsia="仿宋_GB2312"/>
          <w:color w:val="auto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九、其他重要事项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（一）机关运行经费支出情况。</w:t>
      </w:r>
      <w:r>
        <w:rPr>
          <w:rFonts w:hint="eastAsia" w:eastAsia="仿宋_GB2312"/>
          <w:color w:val="auto"/>
          <w:kern w:val="0"/>
          <w:sz w:val="32"/>
          <w:szCs w:val="32"/>
        </w:rPr>
        <w:t>学校</w:t>
      </w:r>
      <w:r>
        <w:rPr>
          <w:rFonts w:eastAsia="仿宋_GB2312"/>
          <w:color w:val="auto"/>
          <w:kern w:val="0"/>
          <w:sz w:val="32"/>
          <w:szCs w:val="32"/>
        </w:rPr>
        <w:t>201</w:t>
      </w:r>
      <w:r>
        <w:rPr>
          <w:rFonts w:hint="eastAsia" w:eastAsia="仿宋_GB2312"/>
          <w:color w:val="auto"/>
          <w:kern w:val="0"/>
          <w:sz w:val="32"/>
          <w:szCs w:val="32"/>
        </w:rPr>
        <w:t>8</w:t>
      </w:r>
      <w:r>
        <w:rPr>
          <w:rFonts w:eastAsia="仿宋_GB2312"/>
          <w:color w:val="auto"/>
          <w:kern w:val="0"/>
          <w:sz w:val="32"/>
          <w:szCs w:val="32"/>
        </w:rPr>
        <w:t>年度机关运行经费支出</w:t>
      </w:r>
      <w:r>
        <w:rPr>
          <w:rFonts w:hint="eastAsia" w:eastAsia="仿宋_GB2312"/>
          <w:color w:val="auto"/>
          <w:kern w:val="0"/>
          <w:sz w:val="32"/>
          <w:szCs w:val="32"/>
        </w:rPr>
        <w:t>25128.20</w:t>
      </w:r>
      <w:r>
        <w:rPr>
          <w:rFonts w:eastAsia="仿宋_GB2312"/>
          <w:color w:val="auto"/>
          <w:kern w:val="0"/>
          <w:sz w:val="32"/>
          <w:szCs w:val="32"/>
        </w:rPr>
        <w:t xml:space="preserve"> 万元，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与年初预算持平</w:t>
      </w:r>
      <w:r>
        <w:rPr>
          <w:rFonts w:eastAsia="仿宋_GB2312"/>
          <w:color w:val="auto"/>
          <w:kern w:val="0"/>
          <w:sz w:val="32"/>
          <w:szCs w:val="32"/>
        </w:rPr>
        <w:t>，</w:t>
      </w:r>
      <w:r>
        <w:rPr>
          <w:rFonts w:hint="eastAsia" w:eastAsia="仿宋_GB2312"/>
          <w:color w:val="auto"/>
          <w:kern w:val="0"/>
          <w:sz w:val="32"/>
          <w:szCs w:val="32"/>
        </w:rPr>
        <w:t>无增长。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（二）政府采购支出情况。</w:t>
      </w:r>
      <w:r>
        <w:rPr>
          <w:rFonts w:hint="eastAsia" w:eastAsia="仿宋_GB2312"/>
          <w:color w:val="auto"/>
          <w:kern w:val="0"/>
          <w:sz w:val="32"/>
          <w:szCs w:val="32"/>
        </w:rPr>
        <w:t>学校</w:t>
      </w:r>
      <w:r>
        <w:rPr>
          <w:rFonts w:eastAsia="仿宋_GB2312"/>
          <w:color w:val="auto"/>
          <w:kern w:val="0"/>
          <w:sz w:val="32"/>
          <w:szCs w:val="32"/>
        </w:rPr>
        <w:t>201</w:t>
      </w:r>
      <w:r>
        <w:rPr>
          <w:rFonts w:hint="eastAsia" w:eastAsia="仿宋_GB2312"/>
          <w:color w:val="auto"/>
          <w:kern w:val="0"/>
          <w:sz w:val="32"/>
          <w:szCs w:val="32"/>
        </w:rPr>
        <w:t>8</w:t>
      </w:r>
      <w:r>
        <w:rPr>
          <w:rFonts w:eastAsia="仿宋_GB2312"/>
          <w:color w:val="auto"/>
          <w:kern w:val="0"/>
          <w:sz w:val="32"/>
          <w:szCs w:val="32"/>
        </w:rPr>
        <w:t xml:space="preserve"> 年度政府采购支出总额</w:t>
      </w:r>
      <w:r>
        <w:rPr>
          <w:rFonts w:hint="eastAsia" w:eastAsia="仿宋_GB2312"/>
          <w:color w:val="auto"/>
          <w:kern w:val="0"/>
          <w:sz w:val="32"/>
          <w:szCs w:val="32"/>
        </w:rPr>
        <w:t>1263.00</w:t>
      </w:r>
      <w:r>
        <w:rPr>
          <w:rFonts w:eastAsia="仿宋_GB2312"/>
          <w:color w:val="auto"/>
          <w:kern w:val="0"/>
          <w:sz w:val="32"/>
          <w:szCs w:val="32"/>
        </w:rPr>
        <w:t>万元，其中：政府采购货物支出</w:t>
      </w:r>
      <w:r>
        <w:rPr>
          <w:rFonts w:hint="eastAsia" w:eastAsia="仿宋_GB2312"/>
          <w:color w:val="auto"/>
          <w:kern w:val="0"/>
          <w:sz w:val="32"/>
          <w:szCs w:val="32"/>
        </w:rPr>
        <w:t>690.27</w:t>
      </w:r>
      <w:r>
        <w:rPr>
          <w:rFonts w:eastAsia="仿宋_GB2312"/>
          <w:color w:val="auto"/>
          <w:kern w:val="0"/>
          <w:sz w:val="32"/>
          <w:szCs w:val="32"/>
        </w:rPr>
        <w:t>万元、政府采购工程支出</w:t>
      </w:r>
      <w:r>
        <w:rPr>
          <w:rFonts w:hint="eastAsia" w:eastAsia="仿宋_GB2312"/>
          <w:color w:val="auto"/>
          <w:kern w:val="0"/>
          <w:sz w:val="32"/>
          <w:szCs w:val="32"/>
        </w:rPr>
        <w:t>490.86</w:t>
      </w:r>
      <w:r>
        <w:rPr>
          <w:rFonts w:eastAsia="仿宋_GB2312"/>
          <w:color w:val="auto"/>
          <w:kern w:val="0"/>
          <w:sz w:val="32"/>
          <w:szCs w:val="32"/>
        </w:rPr>
        <w:t>万元、政府采购服务支出</w:t>
      </w:r>
      <w:r>
        <w:rPr>
          <w:rFonts w:hint="eastAsia" w:eastAsia="仿宋_GB2312"/>
          <w:color w:val="auto"/>
          <w:kern w:val="0"/>
          <w:sz w:val="32"/>
          <w:szCs w:val="32"/>
        </w:rPr>
        <w:t>81.87</w:t>
      </w:r>
      <w:r>
        <w:rPr>
          <w:rFonts w:eastAsia="仿宋_GB2312"/>
          <w:color w:val="auto"/>
          <w:kern w:val="0"/>
          <w:sz w:val="32"/>
          <w:szCs w:val="32"/>
        </w:rPr>
        <w:t>万元。</w:t>
      </w:r>
    </w:p>
    <w:p>
      <w:pPr>
        <w:autoSpaceDE w:val="0"/>
        <w:autoSpaceDN w:val="0"/>
        <w:adjustRightInd w:val="0"/>
        <w:spacing w:line="600" w:lineRule="exact"/>
        <w:ind w:firstLine="640" w:firstLineChars="200"/>
        <w:rPr>
          <w:rFonts w:eastAsia="仿宋_GB2312"/>
          <w:color w:val="auto"/>
          <w:kern w:val="0"/>
          <w:sz w:val="32"/>
          <w:szCs w:val="32"/>
        </w:rPr>
      </w:pPr>
      <w:r>
        <w:rPr>
          <w:rFonts w:eastAsia="仿宋_GB2312"/>
          <w:color w:val="auto"/>
          <w:kern w:val="0"/>
          <w:sz w:val="32"/>
          <w:szCs w:val="32"/>
        </w:rPr>
        <w:t>（三）国有资产占用情况。截至201</w:t>
      </w:r>
      <w:r>
        <w:rPr>
          <w:rFonts w:hint="eastAsia" w:eastAsia="仿宋_GB2312"/>
          <w:color w:val="auto"/>
          <w:kern w:val="0"/>
          <w:sz w:val="32"/>
          <w:szCs w:val="32"/>
        </w:rPr>
        <w:t>8</w:t>
      </w:r>
      <w:r>
        <w:rPr>
          <w:rFonts w:eastAsia="仿宋_GB2312"/>
          <w:color w:val="auto"/>
          <w:kern w:val="0"/>
          <w:sz w:val="32"/>
          <w:szCs w:val="32"/>
        </w:rPr>
        <w:t>年12 月31 日，</w:t>
      </w:r>
      <w:r>
        <w:rPr>
          <w:rFonts w:hint="eastAsia" w:eastAsia="仿宋_GB2312"/>
          <w:color w:val="auto"/>
          <w:kern w:val="0"/>
          <w:sz w:val="32"/>
          <w:szCs w:val="32"/>
        </w:rPr>
        <w:t>学校</w:t>
      </w:r>
      <w:r>
        <w:rPr>
          <w:rFonts w:eastAsia="仿宋_GB2312"/>
          <w:color w:val="auto"/>
          <w:kern w:val="0"/>
          <w:sz w:val="32"/>
          <w:szCs w:val="32"/>
        </w:rPr>
        <w:t>共有车辆</w:t>
      </w:r>
      <w:r>
        <w:rPr>
          <w:rFonts w:hint="eastAsia" w:eastAsia="仿宋_GB2312"/>
          <w:color w:val="auto"/>
          <w:kern w:val="0"/>
          <w:sz w:val="32"/>
          <w:szCs w:val="32"/>
        </w:rPr>
        <w:t>23</w:t>
      </w:r>
      <w:r>
        <w:rPr>
          <w:rFonts w:eastAsia="仿宋_GB2312"/>
          <w:color w:val="auto"/>
          <w:kern w:val="0"/>
          <w:sz w:val="32"/>
          <w:szCs w:val="32"/>
        </w:rPr>
        <w:t>辆，其中</w:t>
      </w:r>
      <w:r>
        <w:rPr>
          <w:rFonts w:hint="eastAsia" w:eastAsia="仿宋_GB2312"/>
          <w:color w:val="auto"/>
          <w:kern w:val="0"/>
          <w:sz w:val="32"/>
          <w:szCs w:val="32"/>
        </w:rPr>
        <w:t>机要通信用车2辆，应急保障用车2辆，其他用车19台均为已报废待</w:t>
      </w:r>
      <w:r>
        <w:rPr>
          <w:rFonts w:hint="eastAsia" w:eastAsia="仿宋_GB2312"/>
          <w:color w:val="auto"/>
          <w:kern w:val="0"/>
          <w:sz w:val="32"/>
          <w:szCs w:val="32"/>
          <w:lang w:eastAsia="zh-CN"/>
        </w:rPr>
        <w:t>处置</w:t>
      </w:r>
      <w:r>
        <w:rPr>
          <w:rFonts w:hint="eastAsia" w:eastAsia="仿宋_GB2312"/>
          <w:color w:val="auto"/>
          <w:kern w:val="0"/>
          <w:sz w:val="32"/>
          <w:szCs w:val="32"/>
        </w:rPr>
        <w:t>的车辆</w:t>
      </w:r>
      <w:r>
        <w:rPr>
          <w:rFonts w:eastAsia="仿宋_GB2312"/>
          <w:color w:val="auto"/>
          <w:kern w:val="0"/>
          <w:sz w:val="32"/>
          <w:szCs w:val="32"/>
        </w:rPr>
        <w:t>；单位价值50 万元以上通用设备</w:t>
      </w:r>
      <w:r>
        <w:rPr>
          <w:rFonts w:hint="eastAsia" w:eastAsia="仿宋_GB2312"/>
          <w:color w:val="auto"/>
          <w:kern w:val="0"/>
          <w:sz w:val="32"/>
          <w:szCs w:val="32"/>
        </w:rPr>
        <w:t>12</w:t>
      </w:r>
      <w:r>
        <w:rPr>
          <w:rFonts w:eastAsia="仿宋_GB2312"/>
          <w:color w:val="auto"/>
          <w:kern w:val="0"/>
          <w:sz w:val="32"/>
          <w:szCs w:val="32"/>
        </w:rPr>
        <w:t>台（套），</w:t>
      </w:r>
      <w:r>
        <w:rPr>
          <w:rFonts w:hint="eastAsia" w:eastAsia="仿宋_GB2312"/>
          <w:color w:val="auto"/>
          <w:kern w:val="0"/>
          <w:sz w:val="32"/>
          <w:szCs w:val="32"/>
        </w:rPr>
        <w:t>无</w:t>
      </w:r>
      <w:r>
        <w:rPr>
          <w:rFonts w:eastAsia="仿宋_GB2312"/>
          <w:color w:val="auto"/>
          <w:kern w:val="0"/>
          <w:sz w:val="32"/>
          <w:szCs w:val="32"/>
        </w:rPr>
        <w:t>单价100 万元以上专用设备。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52B5E"/>
    <w:rsid w:val="00031685"/>
    <w:rsid w:val="00052D95"/>
    <w:rsid w:val="000F0D4F"/>
    <w:rsid w:val="002878F0"/>
    <w:rsid w:val="004328D0"/>
    <w:rsid w:val="004A450A"/>
    <w:rsid w:val="00542B14"/>
    <w:rsid w:val="005A43A8"/>
    <w:rsid w:val="005C131A"/>
    <w:rsid w:val="006B2236"/>
    <w:rsid w:val="006B5383"/>
    <w:rsid w:val="0076130F"/>
    <w:rsid w:val="00870829"/>
    <w:rsid w:val="00995A88"/>
    <w:rsid w:val="009D05DA"/>
    <w:rsid w:val="009F360C"/>
    <w:rsid w:val="00AB0830"/>
    <w:rsid w:val="00AF0CF7"/>
    <w:rsid w:val="00C57364"/>
    <w:rsid w:val="00C6440F"/>
    <w:rsid w:val="00C755A6"/>
    <w:rsid w:val="00D330C1"/>
    <w:rsid w:val="00D62A6E"/>
    <w:rsid w:val="00D80D7F"/>
    <w:rsid w:val="00F434D7"/>
    <w:rsid w:val="04124B9D"/>
    <w:rsid w:val="06B90CBB"/>
    <w:rsid w:val="08D1386B"/>
    <w:rsid w:val="0A383DC8"/>
    <w:rsid w:val="1CFB46F1"/>
    <w:rsid w:val="1F952AAF"/>
    <w:rsid w:val="1FA14E46"/>
    <w:rsid w:val="1FF22866"/>
    <w:rsid w:val="20D433E6"/>
    <w:rsid w:val="23B20536"/>
    <w:rsid w:val="25932AD7"/>
    <w:rsid w:val="32495153"/>
    <w:rsid w:val="38306189"/>
    <w:rsid w:val="3AA32A05"/>
    <w:rsid w:val="3F123F63"/>
    <w:rsid w:val="42F609D8"/>
    <w:rsid w:val="43AC0BF7"/>
    <w:rsid w:val="448357F2"/>
    <w:rsid w:val="464C0AA4"/>
    <w:rsid w:val="4D5F3D40"/>
    <w:rsid w:val="54131265"/>
    <w:rsid w:val="5B752B5E"/>
    <w:rsid w:val="5D8E7B09"/>
    <w:rsid w:val="5F80479B"/>
    <w:rsid w:val="6A42673E"/>
    <w:rsid w:val="6A68160A"/>
    <w:rsid w:val="6B343464"/>
    <w:rsid w:val="70057788"/>
    <w:rsid w:val="7DE20764"/>
    <w:rsid w:val="7F5065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unnamed21"/>
    <w:qFormat/>
    <w:uiPriority w:val="0"/>
    <w:rPr>
      <w:sz w:val="23"/>
      <w:szCs w:val="23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360</Words>
  <Characters>2056</Characters>
  <Lines>17</Lines>
  <Paragraphs>4</Paragraphs>
  <TotalTime>1</TotalTime>
  <ScaleCrop>false</ScaleCrop>
  <LinksUpToDate>false</LinksUpToDate>
  <CharactersWithSpaces>2412</CharactersWithSpaces>
  <Application>WPS Office_11.1.0.8900_F1E327BC-269C-435d-A152-05C5408002CA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2019-09-05T04:40:00Z</dcterms:created>
  <dc:creator>Administrator</dc:creator>
  <cp:lastModifiedBy>西山小米</cp:lastModifiedBy>
  <cp:lastPrinted>2019-09-18T06:44:00Z</cp:lastPrinted>
  <dcterms:modified xsi:type="dcterms:W3CDTF">2019-10-23T00:53:25Z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2052-11.1.0.8900</vt:lpwstr>
  </property>
</Properties>
</file>